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30EA9" w14:textId="2C3FA18C" w:rsidR="00F5599D" w:rsidRDefault="00F5599D" w:rsidP="00F5599D">
      <w:r>
        <w:t xml:space="preserve">Welcome to the gifts from outside sources quick start guide.  If you are watching this video, you have probably encountered an ethics question dealing with gifts to federal employees from sources outside the government.     </w:t>
      </w:r>
    </w:p>
    <w:p w14:paraId="21D63A05" w14:textId="4441D6CE" w:rsidR="00F5599D" w:rsidRDefault="00F5599D" w:rsidP="00F5599D">
      <w:r>
        <w:t xml:space="preserve">In this short video, we’ll briefly explain the </w:t>
      </w:r>
      <w:r w:rsidR="00DB0270">
        <w:t>gift from outside sources rule</w:t>
      </w:r>
      <w:r>
        <w:t>,</w:t>
      </w:r>
      <w:r w:rsidR="00DB0270">
        <w:t xml:space="preserve"> some</w:t>
      </w:r>
      <w:r>
        <w:t xml:space="preserve"> key definitions, and a micro-process that will help you navigate these rules accurately and efficiently.  </w:t>
      </w:r>
    </w:p>
    <w:p w14:paraId="49970372" w14:textId="45D3D305" w:rsidR="00F5599D" w:rsidRDefault="00F5599D" w:rsidP="00F5599D">
      <w:r>
        <w:t>Then, we’ll go through a short example of how to use the gifts micro-process.</w:t>
      </w:r>
    </w:p>
    <w:p w14:paraId="70A1C26E" w14:textId="7386F0EB" w:rsidR="00F5599D" w:rsidRDefault="00F5599D" w:rsidP="00F5599D">
      <w:r>
        <w:t xml:space="preserve">And finally, we’ll share with you some courses that can help you </w:t>
      </w:r>
      <w:r w:rsidR="00152FDC">
        <w:t>continue learning about the gift rules and how to apply them.</w:t>
      </w:r>
    </w:p>
    <w:p w14:paraId="7E4D5C95" w14:textId="41DDAB6E" w:rsidR="00393B26" w:rsidRDefault="00393B26" w:rsidP="00F5599D">
      <w:pPr>
        <w:rPr>
          <w:b/>
          <w:bCs/>
        </w:rPr>
      </w:pPr>
      <w:r>
        <w:rPr>
          <w:b/>
          <w:bCs/>
        </w:rPr>
        <w:t>Let’s start at the beginning, why are we concerned with gifts to federal employees at all?</w:t>
      </w:r>
    </w:p>
    <w:p w14:paraId="16CEFDB5" w14:textId="2FA58F3D" w:rsidR="00393B26" w:rsidRPr="00393B26" w:rsidRDefault="00393B26" w:rsidP="00F5599D">
      <w:r>
        <w:t xml:space="preserve">Essentially, we are concerned that gifts </w:t>
      </w:r>
      <w:proofErr w:type="gramStart"/>
      <w:r>
        <w:t>may actually, or</w:t>
      </w:r>
      <w:proofErr w:type="gramEnd"/>
      <w:r>
        <w:t xml:space="preserve"> apparently, influence federal employees who receive gifts to prefer or favor gift-givers.  </w:t>
      </w:r>
      <w:r w:rsidR="00E473E1">
        <w:t xml:space="preserve">Routine gift giving can also create an unfair expectation, that one must give gifts to federal employees to receive fair treatment or services.  Both are undesirable and detract from public confidence in government.  </w:t>
      </w:r>
    </w:p>
    <w:p w14:paraId="372EF58A" w14:textId="25065090" w:rsidR="00F5599D" w:rsidRDefault="00F5599D" w:rsidP="00F5599D">
      <w:pPr>
        <w:rPr>
          <w:b/>
          <w:bCs/>
        </w:rPr>
      </w:pPr>
      <w:r>
        <w:rPr>
          <w:b/>
          <w:bCs/>
        </w:rPr>
        <w:t xml:space="preserve">So, what do the ethics rules say about gifts to federal employees from sources outside the government?  </w:t>
      </w:r>
    </w:p>
    <w:p w14:paraId="56E0FAFE" w14:textId="7B78BF28" w:rsidR="00F5599D" w:rsidRDefault="00F5599D" w:rsidP="00F5599D">
      <w:r>
        <w:t>The rules contain two general prohibitions.</w:t>
      </w:r>
    </w:p>
    <w:p w14:paraId="66DAB6A8" w14:textId="2D410857" w:rsidR="00F5599D" w:rsidRDefault="00F5599D" w:rsidP="00F5599D">
      <w:pPr>
        <w:pStyle w:val="ListParagraph"/>
        <w:numPr>
          <w:ilvl w:val="0"/>
          <w:numId w:val="2"/>
        </w:numPr>
      </w:pPr>
      <w:r>
        <w:t xml:space="preserve">Employees are generally prohibited from soliciting or accepting gifts from a “prohibited source” (that’s a funny phrase, we’ll look at it more closely in a moment.), and </w:t>
      </w:r>
    </w:p>
    <w:p w14:paraId="4E42C52E" w14:textId="4ACD8738" w:rsidR="00F5599D" w:rsidRDefault="00F5599D" w:rsidP="00F5599D">
      <w:pPr>
        <w:pStyle w:val="ListParagraph"/>
        <w:numPr>
          <w:ilvl w:val="0"/>
          <w:numId w:val="2"/>
        </w:numPr>
      </w:pPr>
      <w:r>
        <w:t xml:space="preserve">Employees are generally prohibited from soliciting or accepting gifts given because of their official positions.  </w:t>
      </w:r>
    </w:p>
    <w:p w14:paraId="481DD7DC" w14:textId="2A4B4798" w:rsidR="00F5599D" w:rsidRDefault="00F5599D" w:rsidP="00F5599D">
      <w:pPr>
        <w:ind w:left="360"/>
      </w:pPr>
      <w:r>
        <w:t xml:space="preserve">It is important to note that these are distinct and separate prohibitions, so if a gift meets only one or the other, it is prohibited.  </w:t>
      </w:r>
      <w:r w:rsidR="00393B26">
        <w:t>It need not meet both.</w:t>
      </w:r>
    </w:p>
    <w:p w14:paraId="52665BC2" w14:textId="1C81E0DD" w:rsidR="00152FDC" w:rsidRDefault="00152FDC" w:rsidP="00F5599D">
      <w:pPr>
        <w:ind w:left="360"/>
      </w:pPr>
      <w:r>
        <w:t xml:space="preserve">These standards are broad, so OGE has issued a series of exceptions that allow employees, where appropriate, to accept some gifts that would be covered under the general prohibitions.  We’ll look at these in a moment as well. </w:t>
      </w:r>
    </w:p>
    <w:p w14:paraId="29BE110B" w14:textId="4BCA5F81" w:rsidR="00152FDC" w:rsidRDefault="00152FDC" w:rsidP="00F5599D">
      <w:pPr>
        <w:ind w:left="360"/>
      </w:pPr>
      <w:r>
        <w:t xml:space="preserve">OGE also understands that sometimes exceptions can undermine the purpose of the rule, so it has also issued some factors to consider before accepting a gift that would be allowed by an exception.  For example, OGE recommends declining gifts, even if </w:t>
      </w:r>
      <w:r>
        <w:lastRenderedPageBreak/>
        <w:t xml:space="preserve">permitted by an exception, that would provide the donor with disproportionate access to government processes or decision-making.  </w:t>
      </w:r>
    </w:p>
    <w:p w14:paraId="3E4AD26C" w14:textId="5252271C" w:rsidR="00152FDC" w:rsidRDefault="00152FDC" w:rsidP="00F5599D">
      <w:pPr>
        <w:ind w:left="360"/>
      </w:pPr>
      <w:r>
        <w:t xml:space="preserve">So, we have two prohibitions, we have a handful of exceptions, and we have some factors to help us decide if using an exception is a good idea.  </w:t>
      </w:r>
      <w:r w:rsidR="0082593C">
        <w:t>We’re starting to see the outline of the gift rules.</w:t>
      </w:r>
    </w:p>
    <w:p w14:paraId="5BC7EEF3" w14:textId="6C23CB31" w:rsidR="0082593C" w:rsidRDefault="0082593C" w:rsidP="00F5599D">
      <w:pPr>
        <w:ind w:left="360"/>
        <w:rPr>
          <w:b/>
          <w:bCs/>
        </w:rPr>
      </w:pPr>
      <w:r w:rsidRPr="0082593C">
        <w:rPr>
          <w:b/>
          <w:bCs/>
        </w:rPr>
        <w:t xml:space="preserve">Next, let’s look at some definitions.  </w:t>
      </w:r>
    </w:p>
    <w:p w14:paraId="437C122B" w14:textId="4E673E02" w:rsidR="0082593C" w:rsidRDefault="0082593C" w:rsidP="00F5599D">
      <w:pPr>
        <w:ind w:left="360"/>
      </w:pPr>
      <w:r>
        <w:t xml:space="preserve">The first, and perhaps most obvious is our definition of “gift.” </w:t>
      </w:r>
    </w:p>
    <w:p w14:paraId="7AF26A07" w14:textId="6AD2E007" w:rsidR="00363ED5" w:rsidRDefault="00363ED5" w:rsidP="00F5599D">
      <w:pPr>
        <w:ind w:left="360"/>
      </w:pPr>
      <w:proofErr w:type="gramStart"/>
      <w:r w:rsidRPr="00363ED5">
        <w:rPr>
          <w:b/>
          <w:bCs/>
          <w:i/>
          <w:iCs/>
        </w:rPr>
        <w:t>Gift</w:t>
      </w:r>
      <w:r w:rsidRPr="00363ED5">
        <w:t xml:space="preserve"> includes</w:t>
      </w:r>
      <w:proofErr w:type="gramEnd"/>
      <w:r w:rsidRPr="00363ED5">
        <w:t xml:space="preserve"> </w:t>
      </w:r>
      <w:proofErr w:type="gramStart"/>
      <w:r w:rsidRPr="00363ED5">
        <w:t>any gratuity</w:t>
      </w:r>
      <w:proofErr w:type="gramEnd"/>
      <w:r w:rsidRPr="00363ED5">
        <w:t>, favor, discount, entertainment, hospitality, loan, forbearance, or other item having monetary value. It includes services as well as gifts of training, transportation, local travel, lodgings, and meals, whether provided in-kind, by purchase of a ticket, payment in advance, or reimbursement after the expense has been incurred.</w:t>
      </w:r>
    </w:p>
    <w:p w14:paraId="4AD0FAEC" w14:textId="0956A9F6" w:rsidR="009347C4" w:rsidRDefault="00363ED5" w:rsidP="009347C4">
      <w:pPr>
        <w:ind w:left="360"/>
      </w:pPr>
      <w:r w:rsidRPr="00363ED5">
        <w:t xml:space="preserve">That’s basically anything!  </w:t>
      </w:r>
      <w:proofErr w:type="gramStart"/>
      <w:r w:rsidRPr="00363ED5">
        <w:t>But,</w:t>
      </w:r>
      <w:proofErr w:type="gramEnd"/>
      <w:r w:rsidRPr="00363ED5">
        <w:t xml:space="preserve"> then we have some exclusions from the definition.  </w:t>
      </w:r>
      <w:r w:rsidR="009347C4">
        <w:t xml:space="preserve">You can see them on your screen.  If something being offered is excluded from the definition of a gift, that’s it, our analysis needn’t continue, what is being offered isn’t a gift, so it isn’t covered by the rule.  </w:t>
      </w:r>
    </w:p>
    <w:p w14:paraId="40245CB5" w14:textId="3D0DBCC2" w:rsidR="009347C4" w:rsidRDefault="009347C4" w:rsidP="009347C4">
      <w:pPr>
        <w:ind w:left="360"/>
      </w:pPr>
      <w:r>
        <w:t>Another important definition we’ll need to understand is:</w:t>
      </w:r>
    </w:p>
    <w:p w14:paraId="082181EC" w14:textId="19D3A536" w:rsidR="009347C4" w:rsidRDefault="009347C4" w:rsidP="009347C4">
      <w:pPr>
        <w:ind w:left="360"/>
      </w:pPr>
      <w:r>
        <w:t>“Prohibited Source”</w:t>
      </w:r>
    </w:p>
    <w:p w14:paraId="3714603D" w14:textId="77777777" w:rsidR="009347C4" w:rsidRDefault="009347C4" w:rsidP="009347C4">
      <w:pPr>
        <w:ind w:left="360"/>
      </w:pPr>
      <w:r>
        <w:t xml:space="preserve">A </w:t>
      </w:r>
      <w:proofErr w:type="gramStart"/>
      <w:r>
        <w:t>prohibited sources</w:t>
      </w:r>
      <w:proofErr w:type="gramEnd"/>
      <w:r>
        <w:t xml:space="preserve"> is someone who: </w:t>
      </w:r>
    </w:p>
    <w:p w14:paraId="6B0FCD97" w14:textId="45F3DA8E" w:rsidR="009347C4" w:rsidRPr="009347C4" w:rsidRDefault="009347C4" w:rsidP="009347C4">
      <w:pPr>
        <w:ind w:left="360"/>
      </w:pPr>
      <w:r w:rsidRPr="009347C4">
        <w:t xml:space="preserve">(1) Is seeking official action by the employee's </w:t>
      </w:r>
      <w:proofErr w:type="gramStart"/>
      <w:r w:rsidRPr="009347C4">
        <w:t>agency;</w:t>
      </w:r>
      <w:proofErr w:type="gramEnd"/>
    </w:p>
    <w:p w14:paraId="584F0B85" w14:textId="77777777" w:rsidR="009347C4" w:rsidRPr="009347C4" w:rsidRDefault="009347C4" w:rsidP="009347C4">
      <w:pPr>
        <w:ind w:left="360"/>
      </w:pPr>
      <w:r w:rsidRPr="009347C4">
        <w:t xml:space="preserve">(2) Does business or seeks to do business with the employee's </w:t>
      </w:r>
      <w:proofErr w:type="gramStart"/>
      <w:r w:rsidRPr="009347C4">
        <w:t>agency;</w:t>
      </w:r>
      <w:proofErr w:type="gramEnd"/>
    </w:p>
    <w:p w14:paraId="6B79DC48" w14:textId="77777777" w:rsidR="009347C4" w:rsidRPr="009347C4" w:rsidRDefault="009347C4" w:rsidP="009347C4">
      <w:pPr>
        <w:ind w:left="360"/>
      </w:pPr>
      <w:r w:rsidRPr="009347C4">
        <w:t xml:space="preserve">(3) Conducts activities regulated by the employee's </w:t>
      </w:r>
      <w:proofErr w:type="gramStart"/>
      <w:r w:rsidRPr="009347C4">
        <w:t>agency;</w:t>
      </w:r>
      <w:proofErr w:type="gramEnd"/>
    </w:p>
    <w:p w14:paraId="3D04B6BC" w14:textId="77777777" w:rsidR="009347C4" w:rsidRPr="009347C4" w:rsidRDefault="009347C4" w:rsidP="009347C4">
      <w:pPr>
        <w:ind w:left="360"/>
      </w:pPr>
      <w:r w:rsidRPr="009347C4">
        <w:t>(4) Has interests that may be substantially affected by the performance or nonperformance of the employee's official duties; or</w:t>
      </w:r>
    </w:p>
    <w:p w14:paraId="78E31872" w14:textId="77777777" w:rsidR="009347C4" w:rsidRDefault="009347C4" w:rsidP="009347C4">
      <w:pPr>
        <w:ind w:left="360"/>
      </w:pPr>
      <w:r w:rsidRPr="009347C4">
        <w:t xml:space="preserve">(5) Is an organization a majority of whose members are described in </w:t>
      </w:r>
      <w:hyperlink r:id="rId5" w:anchor="p-2635.203(d)(1)" w:history="1">
        <w:r w:rsidRPr="009347C4">
          <w:rPr>
            <w:rStyle w:val="Hyperlink"/>
          </w:rPr>
          <w:t>paragraphs (d)(1)</w:t>
        </w:r>
      </w:hyperlink>
      <w:r w:rsidRPr="009347C4">
        <w:t xml:space="preserve"> through </w:t>
      </w:r>
      <w:hyperlink r:id="rId6" w:anchor="p-2635.203(d)(4)" w:history="1">
        <w:r w:rsidRPr="009347C4">
          <w:rPr>
            <w:rStyle w:val="Hyperlink"/>
          </w:rPr>
          <w:t>(4)</w:t>
        </w:r>
      </w:hyperlink>
      <w:r w:rsidRPr="009347C4">
        <w:t xml:space="preserve"> of this section.</w:t>
      </w:r>
    </w:p>
    <w:p w14:paraId="6D7E59D6" w14:textId="671D4220" w:rsidR="00C17ACA" w:rsidRDefault="00C17ACA" w:rsidP="009347C4">
      <w:pPr>
        <w:ind w:left="360"/>
      </w:pPr>
      <w:r>
        <w:t xml:space="preserve">Okay, so we have the prohibitions, some definitions, the exceptions, and the considerations for declining otherwise permissible gifts.  So how does </w:t>
      </w:r>
      <w:proofErr w:type="gramStart"/>
      <w:r>
        <w:t>all of</w:t>
      </w:r>
      <w:proofErr w:type="gramEnd"/>
      <w:r>
        <w:t xml:space="preserve"> this fit together? </w:t>
      </w:r>
    </w:p>
    <w:p w14:paraId="61EB4E06" w14:textId="5871B895" w:rsidR="00C17ACA" w:rsidRDefault="00C17ACA" w:rsidP="009347C4">
      <w:pPr>
        <w:ind w:left="360"/>
      </w:pPr>
      <w:r>
        <w:t xml:space="preserve">Let’s </w:t>
      </w:r>
      <w:proofErr w:type="gramStart"/>
      <w:r>
        <w:t>take a look</w:t>
      </w:r>
      <w:proofErr w:type="gramEnd"/>
      <w:r>
        <w:t xml:space="preserve"> at a process chart that helps to assemble the pieces.  </w:t>
      </w:r>
      <w:r w:rsidR="00B5533E">
        <w:t xml:space="preserve">At OGE, we call this the Gifts microprocess.  </w:t>
      </w:r>
    </w:p>
    <w:p w14:paraId="49434A21" w14:textId="6963E3F0" w:rsidR="00B5533E" w:rsidRDefault="00B5533E" w:rsidP="009347C4">
      <w:pPr>
        <w:ind w:left="360"/>
      </w:pPr>
      <w:r>
        <w:lastRenderedPageBreak/>
        <w:t>In this chart you can begin to see how we fit the pieces of the regulation together to respond to a question involving gifts from outside sources.</w:t>
      </w:r>
    </w:p>
    <w:p w14:paraId="4E53E078" w14:textId="2BC912D1" w:rsidR="008903A4" w:rsidRDefault="00B5533E" w:rsidP="00B5533E">
      <w:pPr>
        <w:ind w:left="360"/>
      </w:pPr>
      <w:r>
        <w:t>First, we have our considerations for declining an otherwise permissible gift.  If it is a bad idea or will potentially hurt the agency, employees can always elect to decline a gift.</w:t>
      </w:r>
      <w:r w:rsidR="008903A4">
        <w:t xml:space="preserve">  The factors we use to make this determination, Value, Timing, </w:t>
      </w:r>
      <w:r w:rsidR="007B6FAB">
        <w:t>Identity</w:t>
      </w:r>
      <w:r w:rsidR="008903A4">
        <w:t>, and Access are sometimes called the VTIA analysis.</w:t>
      </w:r>
    </w:p>
    <w:p w14:paraId="16C4C281" w14:textId="77777777" w:rsidR="008903A4" w:rsidRDefault="00C82EA9" w:rsidP="00B5533E">
      <w:pPr>
        <w:ind w:left="360"/>
      </w:pPr>
      <w:r>
        <w:t xml:space="preserve">  </w:t>
      </w:r>
      <w:proofErr w:type="gramStart"/>
      <w:r>
        <w:t>Next</w:t>
      </w:r>
      <w:proofErr w:type="gramEnd"/>
      <w:r>
        <w:t xml:space="preserve"> we must find out if the item offered meets the definition of a gift.  If it doesn’t, it may be accepted.  </w:t>
      </w:r>
    </w:p>
    <w:p w14:paraId="1402ACCB" w14:textId="02D74027" w:rsidR="00B5533E" w:rsidRDefault="00C82EA9" w:rsidP="00B5533E">
      <w:pPr>
        <w:ind w:left="360"/>
      </w:pPr>
      <w:r>
        <w:t xml:space="preserve">If it is a gift, we need to decide if it meets one of the general prohibitions: namely, is the gifts being solicited or offered because of the </w:t>
      </w:r>
      <w:proofErr w:type="gramStart"/>
      <w:r>
        <w:t>employees</w:t>
      </w:r>
      <w:proofErr w:type="gramEnd"/>
      <w:r>
        <w:t xml:space="preserve"> official position </w:t>
      </w:r>
      <w:r>
        <w:rPr>
          <w:i/>
          <w:iCs/>
        </w:rPr>
        <w:t xml:space="preserve">or </w:t>
      </w:r>
      <w:r>
        <w:t xml:space="preserve">is the gift being solicited or offered by a prohibited source.  </w:t>
      </w:r>
    </w:p>
    <w:p w14:paraId="25815733" w14:textId="28FA4602" w:rsidR="00C82EA9" w:rsidRDefault="00C82EA9" w:rsidP="00B5533E">
      <w:pPr>
        <w:ind w:left="360"/>
      </w:pPr>
      <w:r>
        <w:t xml:space="preserve">If the gift meets one of these prohibitions, remember it needn’t meet both, the gift is prohibited and should not be accepted unless indicated in the next step.  </w:t>
      </w:r>
    </w:p>
    <w:p w14:paraId="0A1C05A2" w14:textId="75932CF7" w:rsidR="00C82EA9" w:rsidRPr="008903A4" w:rsidRDefault="00C82EA9" w:rsidP="00B5533E">
      <w:pPr>
        <w:ind w:left="360"/>
      </w:pPr>
      <w:r>
        <w:t xml:space="preserve">And what </w:t>
      </w:r>
      <w:r w:rsidRPr="001B30B5">
        <w:rPr>
          <w:i/>
          <w:iCs/>
        </w:rPr>
        <w:t>is</w:t>
      </w:r>
      <w:r>
        <w:t xml:space="preserve"> the next step?   </w:t>
      </w:r>
      <w:r w:rsidR="001B30B5">
        <w:t>The next and final step is f</w:t>
      </w:r>
      <w:r>
        <w:t xml:space="preserve">inding out if an exception applies.  Exceptions allow for the acceptance of gifts that otherwise meet the definition of a gift and one or more of the prohibitions.  </w:t>
      </w:r>
      <w:r w:rsidR="008903A4">
        <w:t xml:space="preserve">Exceptions and exclusions differ in an </w:t>
      </w:r>
      <w:proofErr w:type="gramStart"/>
      <w:r w:rsidR="008903A4">
        <w:t>important ways</w:t>
      </w:r>
      <w:proofErr w:type="gramEnd"/>
      <w:r w:rsidR="008903A4">
        <w:t xml:space="preserve">.  An exclusion from the definition of a gift is something that simply isn’t covered by the gift rule, and exception </w:t>
      </w:r>
      <w:r w:rsidR="008903A4">
        <w:rPr>
          <w:i/>
          <w:iCs/>
        </w:rPr>
        <w:t xml:space="preserve">is </w:t>
      </w:r>
      <w:r w:rsidR="008903A4">
        <w:t xml:space="preserve">a gift and does meet the general </w:t>
      </w:r>
      <w:proofErr w:type="gramStart"/>
      <w:r w:rsidR="008903A4">
        <w:t>prohibition, but</w:t>
      </w:r>
      <w:proofErr w:type="gramEnd"/>
      <w:r w:rsidR="008903A4">
        <w:t xml:space="preserve"> is still permissible under the rule.  </w:t>
      </w:r>
    </w:p>
    <w:p w14:paraId="297C31B8" w14:textId="7665C604" w:rsidR="00F75CE8" w:rsidRDefault="00F75CE8" w:rsidP="00B5533E">
      <w:pPr>
        <w:ind w:left="360"/>
      </w:pPr>
      <w:r>
        <w:t xml:space="preserve">Exceptions cover lots of common situations where a gift might meet the general </w:t>
      </w:r>
      <w:r w:rsidR="00C15046">
        <w:t>prohibition</w:t>
      </w:r>
      <w:r>
        <w:t xml:space="preserve">, but acceptance would be unlikely to be corrosive to public trust in government.  For example, there is an </w:t>
      </w:r>
      <w:proofErr w:type="gramStart"/>
      <w:r w:rsidR="008903A4">
        <w:t xml:space="preserve">exception </w:t>
      </w:r>
      <w:r>
        <w:t xml:space="preserve"> for</w:t>
      </w:r>
      <w:proofErr w:type="gramEnd"/>
      <w:r>
        <w:t xml:space="preserve"> gifts of </w:t>
      </w:r>
      <w:proofErr w:type="gramStart"/>
      <w:r>
        <w:t>a nominal</w:t>
      </w:r>
      <w:proofErr w:type="gramEnd"/>
      <w:r>
        <w:t xml:space="preserve"> value, gifts valued at less than $20 per occasion and less than $50 per year per donor, and exemptions for gifts associated with outside business activities.  </w:t>
      </w:r>
    </w:p>
    <w:p w14:paraId="52645C72" w14:textId="4BD74586" w:rsidR="00F75CE8" w:rsidRDefault="00F75CE8" w:rsidP="00B5533E">
      <w:pPr>
        <w:ind w:left="360"/>
      </w:pPr>
      <w:r>
        <w:t xml:space="preserve">If you aren’t, you should become familiar with </w:t>
      </w:r>
      <w:proofErr w:type="gramStart"/>
      <w:r>
        <w:t>all of</w:t>
      </w:r>
      <w:proofErr w:type="gramEnd"/>
      <w:r>
        <w:t xml:space="preserve"> the </w:t>
      </w:r>
      <w:r w:rsidR="008903A4">
        <w:t>exceptions</w:t>
      </w:r>
      <w:r>
        <w:t xml:space="preserve"> before advising employees on the gift rules.  The IEG has developed a course </w:t>
      </w:r>
      <w:proofErr w:type="gramStart"/>
      <w:r>
        <w:t>of</w:t>
      </w:r>
      <w:proofErr w:type="gramEnd"/>
      <w:r>
        <w:t xml:space="preserve"> study to help you familiarize yourself with all aspects of the </w:t>
      </w:r>
      <w:proofErr w:type="gramStart"/>
      <w:r>
        <w:t>rule</w:t>
      </w:r>
      <w:proofErr w:type="gramEnd"/>
      <w:r>
        <w:t xml:space="preserve"> and </w:t>
      </w:r>
      <w:r w:rsidR="008903A4">
        <w:t>exceptions</w:t>
      </w:r>
      <w:r>
        <w:t xml:space="preserve">.    </w:t>
      </w:r>
    </w:p>
    <w:p w14:paraId="483D9AE3" w14:textId="6C77C872" w:rsidR="00F75CE8" w:rsidRDefault="00F75CE8" w:rsidP="00B5533E">
      <w:pPr>
        <w:ind w:left="360"/>
      </w:pPr>
      <w:r>
        <w:t xml:space="preserve">Before we conclude this quick start guide, let’s </w:t>
      </w:r>
      <w:r w:rsidR="00C15046">
        <w:t xml:space="preserve">use the gifts microprocess to look at a simple gifts question.  </w:t>
      </w:r>
    </w:p>
    <w:p w14:paraId="5967CCE7" w14:textId="7AC9474C" w:rsidR="00B5533E" w:rsidRDefault="005773F6" w:rsidP="00B5533E">
      <w:pPr>
        <w:ind w:left="360"/>
      </w:pPr>
      <w:r>
        <w:t xml:space="preserve">Let’s consider our employee Jan.  Jan has been invited by a neighbor for a BBQ for everyone on </w:t>
      </w:r>
      <w:r w:rsidR="008903A4">
        <w:t>her</w:t>
      </w:r>
      <w:r>
        <w:t xml:space="preserve"> cul-de-sac.  Jan’s neighbor happens to work for a company that is regulated by our agency.  </w:t>
      </w:r>
    </w:p>
    <w:p w14:paraId="08A3C40B" w14:textId="7F46E4C3" w:rsidR="005773F6" w:rsidRDefault="0004488B" w:rsidP="00B5533E">
      <w:pPr>
        <w:ind w:left="360"/>
      </w:pPr>
      <w:r>
        <w:lastRenderedPageBreak/>
        <w:t>Let’s start with our appearance</w:t>
      </w:r>
      <w:r w:rsidR="008903A4">
        <w:t xml:space="preserve"> (or VTIA)</w:t>
      </w:r>
      <w:r>
        <w:t xml:space="preserve"> factors.  Does the value of the BBQ seem likely to agitate against attending the BBQ?  Probably not, unless we had information that it was an extraordinarily expensive BBQ, the value is likely not a concern.  How about the timing?  Unless we had information that a matter involving the neighbor’s employe</w:t>
      </w:r>
      <w:r w:rsidR="007B6FAB">
        <w:t>r</w:t>
      </w:r>
      <w:r>
        <w:t xml:space="preserve"> was imminent or pending, it is unlikely that the timing would agitate against accepting the invitation.  How about identity?  We might want to know if Jan is currently assigned to matters affecting the neighbor’s employer.  If not, identity is not likely a concern.  How about access?  Much like identity, unless we have information that Jan is working on matters affecting the neighbor’s employer, this probably won’t be an obstacle to attending the neighborhood BBQ.  For the sake of this exercise, let’s assume that none of these factors are obstacles to attending the BBQ.</w:t>
      </w:r>
    </w:p>
    <w:p w14:paraId="359980B4" w14:textId="715CD801" w:rsidR="0004488B" w:rsidRDefault="0013245C" w:rsidP="00B5533E">
      <w:pPr>
        <w:ind w:left="360"/>
      </w:pPr>
      <w:r>
        <w:t>Let’s look at our next step.  Is the invitation a gift?</w:t>
      </w:r>
    </w:p>
    <w:p w14:paraId="18B4295F" w14:textId="32FE5036" w:rsidR="0013245C" w:rsidRDefault="0013245C" w:rsidP="00B5533E">
      <w:pPr>
        <w:ind w:left="360"/>
      </w:pPr>
      <w:r>
        <w:t xml:space="preserve">Take a moment to review the ten exclusions from the definition on the bottom of the screen.  Do any of these seem to apply?  The only one that is </w:t>
      </w:r>
      <w:proofErr w:type="gramStart"/>
      <w:r>
        <w:t>really close</w:t>
      </w:r>
      <w:proofErr w:type="gramEnd"/>
      <w:r>
        <w:t xml:space="preserve"> is modest food items, but we know from the longer definition that this applies only to food items offered other than as part of a meal and excludes alcoholic beverages.  It is unlikely this exclusion would apply to a BBQ, so it seems we have a gift!</w:t>
      </w:r>
    </w:p>
    <w:p w14:paraId="04266641" w14:textId="30E4CF63" w:rsidR="0013245C" w:rsidRDefault="0013245C" w:rsidP="00B5533E">
      <w:pPr>
        <w:ind w:left="360"/>
      </w:pPr>
      <w:proofErr w:type="gramStart"/>
      <w:r>
        <w:t>Next</w:t>
      </w:r>
      <w:proofErr w:type="gramEnd"/>
      <w:r>
        <w:t xml:space="preserve"> we need to look at our prohibitions.  Is this gift being offered because of Jan’s official position or being offered by a prohibited source? </w:t>
      </w:r>
    </w:p>
    <w:p w14:paraId="4FC2409F" w14:textId="067ECE14" w:rsidR="0013245C" w:rsidRDefault="0013245C" w:rsidP="00B5533E">
      <w:pPr>
        <w:ind w:left="360"/>
      </w:pPr>
      <w:r>
        <w:t xml:space="preserve">Remember, we only need to meet one of these prohibitions.  </w:t>
      </w:r>
    </w:p>
    <w:p w14:paraId="2DFFF1EC" w14:textId="297B3137" w:rsidR="0013245C" w:rsidRDefault="0013245C" w:rsidP="00B5533E">
      <w:pPr>
        <w:ind w:left="360"/>
      </w:pPr>
      <w:r>
        <w:t xml:space="preserve">Because the entire cul-de-sac is being invited, it is unlikely that the invitation is motivated by Jan’s official position.  </w:t>
      </w:r>
    </w:p>
    <w:p w14:paraId="239CA6B3" w14:textId="32B5B77E" w:rsidR="0013245C" w:rsidRDefault="0013245C" w:rsidP="00B5533E">
      <w:pPr>
        <w:ind w:left="360"/>
      </w:pPr>
      <w:r>
        <w:t xml:space="preserve">How about prohibited sources?  </w:t>
      </w:r>
    </w:p>
    <w:p w14:paraId="2D857316" w14:textId="7FA47FD0" w:rsidR="0013245C" w:rsidRDefault="0013245C" w:rsidP="00B5533E">
      <w:pPr>
        <w:ind w:left="360"/>
      </w:pPr>
      <w:r>
        <w:t xml:space="preserve">We know from the definition of </w:t>
      </w:r>
      <w:r w:rsidR="00360978">
        <w:t>prohibited</w:t>
      </w:r>
      <w:r>
        <w:t xml:space="preserve"> source that </w:t>
      </w:r>
      <w:r w:rsidR="00360978">
        <w:t xml:space="preserve">anyone who does or seeks business with our agency is a prohibited source.  The neighbor hosting the BBQ works for a regulated company, so we know the neighbor is a prohibited source.  </w:t>
      </w:r>
    </w:p>
    <w:p w14:paraId="73B92491" w14:textId="7AF48C11" w:rsidR="00360978" w:rsidRDefault="00360978" w:rsidP="00B5533E">
      <w:pPr>
        <w:ind w:left="360"/>
      </w:pPr>
      <w:r>
        <w:t xml:space="preserve">Because the neighbor is a prohibited source, we know the invitation meets the prohibition.  So, if Jan is going to accept the gift, we need to find an exception that applies.  </w:t>
      </w:r>
    </w:p>
    <w:p w14:paraId="48B059EF" w14:textId="14CE2AF0" w:rsidR="00360978" w:rsidRDefault="00360978" w:rsidP="00B5533E">
      <w:pPr>
        <w:ind w:left="360"/>
      </w:pPr>
      <w:r>
        <w:t xml:space="preserve">Let’s </w:t>
      </w:r>
      <w:proofErr w:type="gramStart"/>
      <w:r>
        <w:t>take a look</w:t>
      </w:r>
      <w:proofErr w:type="gramEnd"/>
      <w:r>
        <w:t xml:space="preserve"> at our exceptions.  </w:t>
      </w:r>
    </w:p>
    <w:p w14:paraId="18C566D8" w14:textId="2B167D06" w:rsidR="00360978" w:rsidRDefault="00360978" w:rsidP="00B5533E">
      <w:pPr>
        <w:ind w:left="360"/>
      </w:pPr>
      <w:r>
        <w:t xml:space="preserve">Less than $20?  Maybe, </w:t>
      </w:r>
      <w:proofErr w:type="gramStart"/>
      <w:r>
        <w:t>today</w:t>
      </w:r>
      <w:proofErr w:type="gramEnd"/>
      <w:r>
        <w:t xml:space="preserve"> hospitality at a BBQ is likely more than $20, so let’s continue.</w:t>
      </w:r>
    </w:p>
    <w:p w14:paraId="295E2EEF" w14:textId="609F76BA" w:rsidR="00360978" w:rsidRDefault="00360978" w:rsidP="00B5533E">
      <w:pPr>
        <w:ind w:left="360"/>
      </w:pPr>
      <w:r>
        <w:t>Next, Gifts based on personal relationship.  This looks like it might work…</w:t>
      </w:r>
    </w:p>
    <w:p w14:paraId="29CDD56E" w14:textId="106A7557" w:rsidR="00373869" w:rsidRDefault="00C83966" w:rsidP="00373869">
      <w:pPr>
        <w:ind w:left="360"/>
      </w:pPr>
      <w:r>
        <w:lastRenderedPageBreak/>
        <w:t>We have some considerations, but it looks like this will work.  The circumstances we have indicate that this gift is motivated by general neighborliness</w:t>
      </w:r>
      <w:r w:rsidR="00373869">
        <w:t xml:space="preserve">, a kind of personal relationship.  </w:t>
      </w:r>
    </w:p>
    <w:p w14:paraId="0E88051F" w14:textId="600DB3B8" w:rsidR="00373869" w:rsidRDefault="00373869" w:rsidP="00373869">
      <w:pPr>
        <w:ind w:left="360"/>
      </w:pPr>
      <w:r>
        <w:t xml:space="preserve">The only other exception that looks likely is the exception for social invitations, but this only works if the host is not a prohibited.  We know the neighbor </w:t>
      </w:r>
      <w:r>
        <w:rPr>
          <w:i/>
          <w:iCs/>
        </w:rPr>
        <w:t>is</w:t>
      </w:r>
      <w:r>
        <w:t xml:space="preserve"> a prohibited source, so this won’t work.</w:t>
      </w:r>
    </w:p>
    <w:p w14:paraId="43433130" w14:textId="268BEC15" w:rsidR="00373869" w:rsidRDefault="00373869" w:rsidP="00373869">
      <w:pPr>
        <w:ind w:left="360"/>
      </w:pPr>
      <w:r>
        <w:t xml:space="preserve">Let’s review.  First, it doesn’t look like </w:t>
      </w:r>
      <w:r w:rsidR="00DB1A0E">
        <w:t xml:space="preserve">our VTIA factors agitate towards declining the invitation, second, the invitation meets the definition of a gift, third, the gift is being offered by a prohibited source, so meets one of our prohibitions, and fourth and finally, we have an exception that would allow Jan to accept the gift.  </w:t>
      </w:r>
    </w:p>
    <w:p w14:paraId="4612A0CD" w14:textId="02787344" w:rsidR="00DB1A0E" w:rsidRDefault="00DB1A0E" w:rsidP="00373869">
      <w:pPr>
        <w:ind w:left="360"/>
      </w:pPr>
      <w:r>
        <w:t xml:space="preserve">That’s it.  Four steps to analyze gifts from outside sources questions.  With practice, you’ll get to know </w:t>
      </w:r>
      <w:proofErr w:type="gramStart"/>
      <w:r>
        <w:t>all of</w:t>
      </w:r>
      <w:proofErr w:type="gramEnd"/>
      <w:r>
        <w:t xml:space="preserve"> the exclusion and exceptions well.  You can start that journey by working through the course of study linked below.</w:t>
      </w:r>
    </w:p>
    <w:p w14:paraId="3ACC61E2" w14:textId="154F2F7E" w:rsidR="00DB1A0E" w:rsidRPr="00373869" w:rsidRDefault="00DB1A0E" w:rsidP="00373869">
      <w:pPr>
        <w:ind w:left="360"/>
      </w:pPr>
      <w:r>
        <w:t>Thanks for joining us and good luck in your development as an ethics official!</w:t>
      </w:r>
    </w:p>
    <w:p w14:paraId="0EE8A523" w14:textId="77777777" w:rsidR="0004488B" w:rsidRPr="009347C4" w:rsidRDefault="0004488B" w:rsidP="00B5533E">
      <w:pPr>
        <w:ind w:left="360"/>
      </w:pPr>
    </w:p>
    <w:p w14:paraId="4B7B8536" w14:textId="3B2DB890" w:rsidR="009347C4" w:rsidRPr="00363ED5" w:rsidRDefault="009347C4" w:rsidP="009347C4">
      <w:pPr>
        <w:ind w:left="360"/>
      </w:pPr>
    </w:p>
    <w:p w14:paraId="74601B64" w14:textId="1F8E7C63" w:rsidR="00F5599D" w:rsidRPr="00803E82" w:rsidRDefault="00F5599D" w:rsidP="00F5599D">
      <w:pPr>
        <w:rPr>
          <w:b/>
          <w:bCs/>
        </w:rPr>
      </w:pPr>
      <w:r w:rsidRPr="00803E82">
        <w:rPr>
          <w:b/>
          <w:bCs/>
        </w:rPr>
        <w:t xml:space="preserve">  </w:t>
      </w:r>
    </w:p>
    <w:sectPr w:rsidR="00F5599D" w:rsidRPr="00803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0D3D"/>
    <w:multiLevelType w:val="hybridMultilevel"/>
    <w:tmpl w:val="99F03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46A3F"/>
    <w:multiLevelType w:val="multilevel"/>
    <w:tmpl w:val="748ED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947095">
    <w:abstractNumId w:val="1"/>
  </w:num>
  <w:num w:numId="2" w16cid:durableId="35411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9D"/>
    <w:rsid w:val="0004488B"/>
    <w:rsid w:val="000B693F"/>
    <w:rsid w:val="0013245C"/>
    <w:rsid w:val="00152FDC"/>
    <w:rsid w:val="001B30B5"/>
    <w:rsid w:val="002B4639"/>
    <w:rsid w:val="002F1221"/>
    <w:rsid w:val="00300614"/>
    <w:rsid w:val="00360978"/>
    <w:rsid w:val="00363ED5"/>
    <w:rsid w:val="00366CD5"/>
    <w:rsid w:val="00373869"/>
    <w:rsid w:val="00393B26"/>
    <w:rsid w:val="003B06E4"/>
    <w:rsid w:val="004F080D"/>
    <w:rsid w:val="005773F6"/>
    <w:rsid w:val="006153CC"/>
    <w:rsid w:val="006C7E95"/>
    <w:rsid w:val="007B6FAB"/>
    <w:rsid w:val="0082593C"/>
    <w:rsid w:val="0086589B"/>
    <w:rsid w:val="008903A4"/>
    <w:rsid w:val="009239E5"/>
    <w:rsid w:val="009347C4"/>
    <w:rsid w:val="00B01718"/>
    <w:rsid w:val="00B5533E"/>
    <w:rsid w:val="00C15046"/>
    <w:rsid w:val="00C17ACA"/>
    <w:rsid w:val="00C82EA9"/>
    <w:rsid w:val="00C83966"/>
    <w:rsid w:val="00CA3D44"/>
    <w:rsid w:val="00D901DC"/>
    <w:rsid w:val="00DB0270"/>
    <w:rsid w:val="00DB1A0E"/>
    <w:rsid w:val="00E473E1"/>
    <w:rsid w:val="00F5599D"/>
    <w:rsid w:val="00F7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7233"/>
  <w15:chartTrackingRefBased/>
  <w15:docId w15:val="{B0A47DF0-2FE6-4302-B40F-EF46E8DC0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99D"/>
  </w:style>
  <w:style w:type="paragraph" w:styleId="Heading1">
    <w:name w:val="heading 1"/>
    <w:basedOn w:val="Normal"/>
    <w:next w:val="Normal"/>
    <w:link w:val="Heading1Char"/>
    <w:uiPriority w:val="9"/>
    <w:qFormat/>
    <w:rsid w:val="00F559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9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9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9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9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9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9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9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9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9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9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9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9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9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9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9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99D"/>
    <w:rPr>
      <w:rFonts w:eastAsiaTheme="majorEastAsia" w:cstheme="majorBidi"/>
      <w:color w:val="272727" w:themeColor="text1" w:themeTint="D8"/>
    </w:rPr>
  </w:style>
  <w:style w:type="paragraph" w:styleId="Title">
    <w:name w:val="Title"/>
    <w:basedOn w:val="Normal"/>
    <w:next w:val="Normal"/>
    <w:link w:val="TitleChar"/>
    <w:uiPriority w:val="10"/>
    <w:qFormat/>
    <w:rsid w:val="00F55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9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9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9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99D"/>
    <w:pPr>
      <w:spacing w:before="160"/>
      <w:jc w:val="center"/>
    </w:pPr>
    <w:rPr>
      <w:i/>
      <w:iCs/>
      <w:color w:val="404040" w:themeColor="text1" w:themeTint="BF"/>
    </w:rPr>
  </w:style>
  <w:style w:type="character" w:customStyle="1" w:styleId="QuoteChar">
    <w:name w:val="Quote Char"/>
    <w:basedOn w:val="DefaultParagraphFont"/>
    <w:link w:val="Quote"/>
    <w:uiPriority w:val="29"/>
    <w:rsid w:val="00F5599D"/>
    <w:rPr>
      <w:i/>
      <w:iCs/>
      <w:color w:val="404040" w:themeColor="text1" w:themeTint="BF"/>
    </w:rPr>
  </w:style>
  <w:style w:type="paragraph" w:styleId="ListParagraph">
    <w:name w:val="List Paragraph"/>
    <w:basedOn w:val="Normal"/>
    <w:uiPriority w:val="34"/>
    <w:qFormat/>
    <w:rsid w:val="00F5599D"/>
    <w:pPr>
      <w:ind w:left="720"/>
      <w:contextualSpacing/>
    </w:pPr>
  </w:style>
  <w:style w:type="character" w:styleId="IntenseEmphasis">
    <w:name w:val="Intense Emphasis"/>
    <w:basedOn w:val="DefaultParagraphFont"/>
    <w:uiPriority w:val="21"/>
    <w:qFormat/>
    <w:rsid w:val="00F5599D"/>
    <w:rPr>
      <w:i/>
      <w:iCs/>
      <w:color w:val="0F4761" w:themeColor="accent1" w:themeShade="BF"/>
    </w:rPr>
  </w:style>
  <w:style w:type="paragraph" w:styleId="IntenseQuote">
    <w:name w:val="Intense Quote"/>
    <w:basedOn w:val="Normal"/>
    <w:next w:val="Normal"/>
    <w:link w:val="IntenseQuoteChar"/>
    <w:uiPriority w:val="30"/>
    <w:qFormat/>
    <w:rsid w:val="00F559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99D"/>
    <w:rPr>
      <w:i/>
      <w:iCs/>
      <w:color w:val="0F4761" w:themeColor="accent1" w:themeShade="BF"/>
    </w:rPr>
  </w:style>
  <w:style w:type="character" w:styleId="IntenseReference">
    <w:name w:val="Intense Reference"/>
    <w:basedOn w:val="DefaultParagraphFont"/>
    <w:uiPriority w:val="32"/>
    <w:qFormat/>
    <w:rsid w:val="00F5599D"/>
    <w:rPr>
      <w:b/>
      <w:bCs/>
      <w:smallCaps/>
      <w:color w:val="0F4761" w:themeColor="accent1" w:themeShade="BF"/>
      <w:spacing w:val="5"/>
    </w:rPr>
  </w:style>
  <w:style w:type="character" w:styleId="Hyperlink">
    <w:name w:val="Hyperlink"/>
    <w:basedOn w:val="DefaultParagraphFont"/>
    <w:uiPriority w:val="99"/>
    <w:unhideWhenUsed/>
    <w:rsid w:val="00363ED5"/>
    <w:rPr>
      <w:color w:val="467886" w:themeColor="hyperlink"/>
      <w:u w:val="single"/>
    </w:rPr>
  </w:style>
  <w:style w:type="character" w:styleId="UnresolvedMention">
    <w:name w:val="Unresolved Mention"/>
    <w:basedOn w:val="DefaultParagraphFont"/>
    <w:uiPriority w:val="99"/>
    <w:semiHidden/>
    <w:unhideWhenUsed/>
    <w:rsid w:val="00363ED5"/>
    <w:rPr>
      <w:color w:val="605E5C"/>
      <w:shd w:val="clear" w:color="auto" w:fill="E1DFDD"/>
    </w:rPr>
  </w:style>
  <w:style w:type="character" w:styleId="CommentReference">
    <w:name w:val="annotation reference"/>
    <w:basedOn w:val="DefaultParagraphFont"/>
    <w:uiPriority w:val="99"/>
    <w:semiHidden/>
    <w:unhideWhenUsed/>
    <w:rsid w:val="003B06E4"/>
    <w:rPr>
      <w:sz w:val="16"/>
      <w:szCs w:val="16"/>
    </w:rPr>
  </w:style>
  <w:style w:type="paragraph" w:styleId="CommentText">
    <w:name w:val="annotation text"/>
    <w:basedOn w:val="Normal"/>
    <w:link w:val="CommentTextChar"/>
    <w:uiPriority w:val="99"/>
    <w:unhideWhenUsed/>
    <w:rsid w:val="003B06E4"/>
    <w:pPr>
      <w:spacing w:line="240" w:lineRule="auto"/>
    </w:pPr>
    <w:rPr>
      <w:sz w:val="20"/>
      <w:szCs w:val="20"/>
    </w:rPr>
  </w:style>
  <w:style w:type="character" w:customStyle="1" w:styleId="CommentTextChar">
    <w:name w:val="Comment Text Char"/>
    <w:basedOn w:val="DefaultParagraphFont"/>
    <w:link w:val="CommentText"/>
    <w:uiPriority w:val="99"/>
    <w:rsid w:val="003B06E4"/>
    <w:rPr>
      <w:sz w:val="20"/>
      <w:szCs w:val="20"/>
    </w:rPr>
  </w:style>
  <w:style w:type="paragraph" w:styleId="CommentSubject">
    <w:name w:val="annotation subject"/>
    <w:basedOn w:val="CommentText"/>
    <w:next w:val="CommentText"/>
    <w:link w:val="CommentSubjectChar"/>
    <w:uiPriority w:val="99"/>
    <w:semiHidden/>
    <w:unhideWhenUsed/>
    <w:rsid w:val="003B06E4"/>
    <w:rPr>
      <w:b/>
      <w:bCs/>
    </w:rPr>
  </w:style>
  <w:style w:type="character" w:customStyle="1" w:styleId="CommentSubjectChar">
    <w:name w:val="Comment Subject Char"/>
    <w:basedOn w:val="CommentTextChar"/>
    <w:link w:val="CommentSubject"/>
    <w:uiPriority w:val="99"/>
    <w:semiHidden/>
    <w:rsid w:val="003B06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urrent/title-5/section-2635.203" TargetMode="External"/><Relationship Id="rId5" Type="http://schemas.openxmlformats.org/officeDocument/2006/relationships/hyperlink" Target="https://www.ecfr.gov/current/title-5/section-2635.20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933</TotalTime>
  <Pages>5</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7</cp:revision>
  <dcterms:created xsi:type="dcterms:W3CDTF">2025-11-14T13:24:00Z</dcterms:created>
  <dcterms:modified xsi:type="dcterms:W3CDTF">2025-11-25T18:36:00Z</dcterms:modified>
</cp:coreProperties>
</file>